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rPr>
          <w:color w:val="1C1E29"/>
        </w:rPr>
      </w:pPr>
    </w:p>
    <w:p w:rsidR="0051168A" w:rsidRPr="001D670E" w:rsidRDefault="0051168A" w:rsidP="0051168A">
      <w:pPr>
        <w:pStyle w:val="NormalWeb"/>
        <w:spacing w:before="0" w:beforeAutospacing="0" w:after="0" w:afterAutospacing="0" w:line="480" w:lineRule="auto"/>
        <w:rPr>
          <w:color w:val="1C1E29"/>
        </w:rPr>
      </w:pPr>
    </w:p>
    <w:p w:rsidR="0051168A" w:rsidRPr="001D670E" w:rsidRDefault="0051168A" w:rsidP="0051168A">
      <w:pPr>
        <w:pStyle w:val="NormalWeb"/>
        <w:spacing w:before="0" w:beforeAutospacing="0" w:after="0" w:afterAutospacing="0" w:line="480" w:lineRule="auto"/>
        <w:rPr>
          <w:color w:val="1C1E29"/>
        </w:rPr>
      </w:pPr>
    </w:p>
    <w:p w:rsidR="0051168A" w:rsidRPr="001D670E" w:rsidRDefault="0051168A" w:rsidP="0051168A">
      <w:pPr>
        <w:pStyle w:val="NormalWeb"/>
        <w:spacing w:before="0" w:beforeAutospacing="0" w:after="0" w:afterAutospacing="0" w:line="480" w:lineRule="auto"/>
        <w:rPr>
          <w:color w:val="1C1E29"/>
        </w:rPr>
      </w:pPr>
    </w:p>
    <w:p w:rsidR="00174912" w:rsidRDefault="00174912" w:rsidP="0051168A">
      <w:pPr>
        <w:pStyle w:val="NormalWeb"/>
        <w:spacing w:before="0" w:beforeAutospacing="0" w:after="0" w:afterAutospacing="0" w:line="480" w:lineRule="auto"/>
        <w:jc w:val="center"/>
        <w:rPr>
          <w:color w:val="1C1E29"/>
        </w:rPr>
      </w:pPr>
      <w:r>
        <w:rPr>
          <w:color w:val="1C1E29"/>
        </w:rPr>
        <w:t>Case Assignment</w:t>
      </w:r>
    </w:p>
    <w:p w:rsidR="0051168A" w:rsidRPr="001D670E" w:rsidRDefault="0051168A" w:rsidP="0051168A">
      <w:pPr>
        <w:pStyle w:val="NormalWeb"/>
        <w:spacing w:before="0" w:beforeAutospacing="0" w:after="0" w:afterAutospacing="0" w:line="480" w:lineRule="auto"/>
        <w:jc w:val="center"/>
        <w:rPr>
          <w:color w:val="1C1E29"/>
        </w:rPr>
      </w:pPr>
      <w:r w:rsidRPr="001D670E">
        <w:rPr>
          <w:color w:val="1C1E29"/>
        </w:rPr>
        <w:t>Name</w:t>
      </w:r>
    </w:p>
    <w:p w:rsidR="0051168A" w:rsidRPr="001D670E" w:rsidRDefault="0051168A" w:rsidP="0051168A">
      <w:pPr>
        <w:pStyle w:val="NormalWeb"/>
        <w:spacing w:before="0" w:beforeAutospacing="0" w:after="0" w:afterAutospacing="0" w:line="480" w:lineRule="auto"/>
        <w:jc w:val="center"/>
        <w:rPr>
          <w:color w:val="1C1E29"/>
        </w:rPr>
      </w:pPr>
      <w:r w:rsidRPr="001D670E">
        <w:rPr>
          <w:color w:val="1C1E29"/>
        </w:rPr>
        <w:t>Institution</w:t>
      </w:r>
    </w:p>
    <w:p w:rsidR="0051168A" w:rsidRPr="001D670E" w:rsidRDefault="0051168A" w:rsidP="0051168A">
      <w:pPr>
        <w:pStyle w:val="NormalWeb"/>
        <w:spacing w:before="0" w:beforeAutospacing="0" w:after="0" w:afterAutospacing="0" w:line="480" w:lineRule="auto"/>
        <w:jc w:val="center"/>
        <w:rPr>
          <w:color w:val="1C1E29"/>
        </w:rPr>
      </w:pPr>
      <w:r w:rsidRPr="001D670E">
        <w:rPr>
          <w:color w:val="1C1E29"/>
        </w:rPr>
        <w:t>Date</w:t>
      </w:r>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jc w:val="center"/>
        <w:rPr>
          <w:color w:val="1C1E29"/>
        </w:rPr>
      </w:pPr>
    </w:p>
    <w:p w:rsidR="0051168A" w:rsidRPr="001D670E" w:rsidRDefault="0051168A" w:rsidP="0051168A">
      <w:pPr>
        <w:pStyle w:val="NormalWeb"/>
        <w:spacing w:before="0" w:beforeAutospacing="0" w:after="0" w:afterAutospacing="0" w:line="480" w:lineRule="auto"/>
        <w:jc w:val="center"/>
        <w:rPr>
          <w:color w:val="1C1E29"/>
        </w:rPr>
      </w:pPr>
    </w:p>
    <w:p w:rsidR="00174912" w:rsidRPr="00174912" w:rsidRDefault="00174912" w:rsidP="0051168A">
      <w:pPr>
        <w:pStyle w:val="NormalWeb"/>
        <w:spacing w:before="0" w:beforeAutospacing="0" w:after="0" w:afterAutospacing="0" w:line="480" w:lineRule="auto"/>
        <w:jc w:val="center"/>
        <w:rPr>
          <w:rStyle w:val="Strong"/>
          <w:b w:val="0"/>
          <w:color w:val="1C1E29"/>
        </w:rPr>
      </w:pPr>
      <w:r w:rsidRPr="00174912">
        <w:rPr>
          <w:rStyle w:val="Strong"/>
          <w:b w:val="0"/>
          <w:color w:val="1C1E29"/>
        </w:rPr>
        <w:lastRenderedPageBreak/>
        <w:t>Case Assignment</w:t>
      </w:r>
    </w:p>
    <w:p w:rsidR="0051168A" w:rsidRPr="001D670E" w:rsidRDefault="0051168A" w:rsidP="0051168A">
      <w:pPr>
        <w:pStyle w:val="NormalWeb"/>
        <w:spacing w:before="0" w:beforeAutospacing="0" w:after="0" w:afterAutospacing="0" w:line="480" w:lineRule="auto"/>
        <w:ind w:firstLine="720"/>
        <w:rPr>
          <w:color w:val="1C1E29"/>
        </w:rPr>
      </w:pPr>
      <w:r w:rsidRPr="001D670E">
        <w:rPr>
          <w:color w:val="1C1E29"/>
        </w:rPr>
        <w:t>Customers have principal dimensions they incorporate when judging a business’s services. They include responsiveness, tangibles, empathy, reliability, and tangibles (Sarlas, 2017). American Express has unique ways that aim at addressing these principal dimensions. The American Express has redefined the call-center strategy. The company understands that the workers are the core resources of the company and interact with the customers regularly. By looking at their best-performing employees, they noted that they had crucial attributes like empathy with customers, connect well with clients over the phone, and had great passion in delivering exceptional service.</w:t>
      </w:r>
    </w:p>
    <w:p w:rsidR="0051168A" w:rsidRPr="001D670E" w:rsidRDefault="0051168A" w:rsidP="0051168A">
      <w:pPr>
        <w:pStyle w:val="NormalWeb"/>
        <w:spacing w:before="0" w:beforeAutospacing="0" w:after="0" w:afterAutospacing="0" w:line="480" w:lineRule="auto"/>
        <w:ind w:firstLine="720"/>
        <w:rPr>
          <w:color w:val="1C1E29"/>
        </w:rPr>
      </w:pPr>
      <w:r w:rsidRPr="001D670E">
        <w:rPr>
          <w:color w:val="1C1E29"/>
        </w:rPr>
        <w:t>The company founded their cue on a basketball philosophical quote that says, “You cannot teach 7 feet.” Based on this their realized the best way is to look at the employees with the appropriate attributes in the hiring phase (Jacquelinen, 2014). Second, they have created a culture where they increase employees’ payments based on the value they add to the customers. Third, the company performs frequent employee performance evaluations, which are primarily linked to consumer feedback. Also, an employee is entitled to incremental 25%-35% on their monthly pays if the customers are satisfied (Jacquelinen, 2014). In addition, the company ensures hiring a lot of employees to ensure reliability; currently, the company has over 59,000 workers, ranking second among its rivals.</w:t>
      </w:r>
    </w:p>
    <w:p w:rsidR="0051168A" w:rsidRPr="001D670E" w:rsidRDefault="00174912" w:rsidP="0051168A">
      <w:pPr>
        <w:pStyle w:val="NormalWeb"/>
        <w:spacing w:before="0" w:beforeAutospacing="0" w:after="0" w:afterAutospacing="0" w:line="480" w:lineRule="auto"/>
        <w:ind w:firstLine="720"/>
        <w:rPr>
          <w:color w:val="1C1E29"/>
        </w:rPr>
      </w:pPr>
      <w:r>
        <w:rPr>
          <w:color w:val="1C1E29"/>
        </w:rPr>
        <w:t>As noted from the case, h</w:t>
      </w:r>
      <w:r w:rsidR="0051168A" w:rsidRPr="001D670E">
        <w:rPr>
          <w:color w:val="1C1E29"/>
        </w:rPr>
        <w:t xml:space="preserve">eterogeneity is particularly essential to credit customers because it reduces the vulnerability of businesses or customers relying on credit to disruption of a single source of credit from a financial company, banks, or any segment of the credit market. Most businesses and customers rely on credit to run their daily operations. Unlike large-scale companies, small business ventures have, for long, had limited access to credit. The large </w:t>
      </w:r>
      <w:r w:rsidR="0051168A" w:rsidRPr="001D670E">
        <w:rPr>
          <w:color w:val="1C1E29"/>
        </w:rPr>
        <w:lastRenderedPageBreak/>
        <w:t>enterprises have the advantage of using commercial papers, issuing bonds, or any other relevant debt security to access credit from banks and broader segments financial institutions (Stefano &amp; Sampagnaro, 2011). On the flip side, small business lacks collateral, have less correct financial statements, and short track records. Such frictions hinder customers from accessing credits. As a result, lacking credit forces the customers to turn to other sources such as business and personal credit cards, family and friends, residential mortgages, and home equity loans (Stefano &amp; Sampagnaro, 2011). Some of these sources are unprotected and can land customers into deep financial crisis. Thus, heterogeneity in banks and financial institutions are integral to credit customers to prevent the risk of an emergency.</w:t>
      </w:r>
    </w:p>
    <w:p w:rsidR="0051168A" w:rsidRPr="001D670E" w:rsidRDefault="00174912" w:rsidP="0051168A">
      <w:pPr>
        <w:pStyle w:val="NormalWeb"/>
        <w:spacing w:before="0" w:beforeAutospacing="0" w:after="0" w:afterAutospacing="0" w:line="480" w:lineRule="auto"/>
        <w:ind w:firstLine="720"/>
        <w:rPr>
          <w:color w:val="1C1E29"/>
        </w:rPr>
      </w:pPr>
      <w:r>
        <w:rPr>
          <w:color w:val="1C1E29"/>
        </w:rPr>
        <w:t xml:space="preserve">Arguably, </w:t>
      </w:r>
      <w:r w:rsidR="0051168A" w:rsidRPr="001D670E">
        <w:rPr>
          <w:color w:val="1C1E29"/>
        </w:rPr>
        <w:t xml:space="preserve">American Express sets its vision as becoming “the world’s service respected service brand.” The following are the implications attached to how the company manages the service expectations. First, the vision of the company implicitly suggests that American Express is looking forward to investing and improve their service brand. The vision seems like a good move for the company since it already has a positive reputation in the eyes of the customers. Moreover, based on the vision, the customers can only expect an even greater sense of service experience from the company, derived from the passion in delivering exceptional services. For instance, in 2014, the company launched the Amex Every Day Credit Card that had no annual fee but had a vital rewards program that was given to frequent users. The company has been known for its target of the affluent class based on their premium-pricing approach (Jacquelinen, 2014). The introduction of the card was a great sign to show its commitment to achieving the set vision. Crafting the Amex, Every Day Credit Card was a part of the strategic shift that allowed mass customers to feel respected. Therefore, the American Express vision implicitly suggests </w:t>
      </w:r>
      <w:r w:rsidR="0051168A" w:rsidRPr="001D670E">
        <w:rPr>
          <w:color w:val="1C1E29"/>
        </w:rPr>
        <w:lastRenderedPageBreak/>
        <w:t>diversification of its services to incorporate all customers to reach their concept of ‘world’s respected brand.’</w:t>
      </w: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51168A" w:rsidRPr="001D670E" w:rsidRDefault="0051168A" w:rsidP="0051168A">
      <w:pPr>
        <w:spacing w:line="480" w:lineRule="auto"/>
        <w:ind w:firstLine="720"/>
        <w:jc w:val="center"/>
      </w:pPr>
    </w:p>
    <w:p w:rsidR="00174912" w:rsidRDefault="00174912" w:rsidP="0051168A">
      <w:pPr>
        <w:spacing w:line="480" w:lineRule="auto"/>
        <w:jc w:val="center"/>
      </w:pPr>
    </w:p>
    <w:p w:rsidR="00174912" w:rsidRDefault="00174912" w:rsidP="0051168A">
      <w:pPr>
        <w:spacing w:line="480" w:lineRule="auto"/>
        <w:jc w:val="center"/>
      </w:pPr>
    </w:p>
    <w:p w:rsidR="00D01A60" w:rsidRPr="001D670E" w:rsidRDefault="00594B58" w:rsidP="0051168A">
      <w:pPr>
        <w:spacing w:line="480" w:lineRule="auto"/>
        <w:jc w:val="center"/>
      </w:pPr>
      <w:bookmarkStart w:id="0" w:name="_GoBack"/>
      <w:bookmarkEnd w:id="0"/>
      <w:r w:rsidRPr="001D670E">
        <w:lastRenderedPageBreak/>
        <w:t>References</w:t>
      </w:r>
    </w:p>
    <w:p w:rsidR="00D01A60" w:rsidRPr="001D670E" w:rsidRDefault="00594B58" w:rsidP="0051168A">
      <w:pPr>
        <w:spacing w:line="480" w:lineRule="auto"/>
        <w:ind w:left="720" w:hanging="720"/>
      </w:pPr>
      <w:r w:rsidRPr="001D670E">
        <w:t xml:space="preserve">Jacquelinen, N. (2014, November 3). </w:t>
      </w:r>
      <w:r w:rsidRPr="001D670E">
        <w:rPr>
          <w:i/>
        </w:rPr>
        <w:t>American Express Shake-up to Rely on trusted Brand, customer service.</w:t>
      </w:r>
      <w:r w:rsidRPr="001D670E">
        <w:t xml:space="preserve"> Retrieved November 24, 2019, from The Globe and Mail: www.theglobeandmail.com</w:t>
      </w:r>
    </w:p>
    <w:p w:rsidR="00D01A60" w:rsidRPr="001D670E" w:rsidRDefault="00594B58" w:rsidP="0051168A">
      <w:pPr>
        <w:spacing w:line="480" w:lineRule="auto"/>
        <w:ind w:left="720" w:hanging="720"/>
      </w:pPr>
      <w:r w:rsidRPr="001D670E">
        <w:t xml:space="preserve">Sarlas, P. (2017, May 25). </w:t>
      </w:r>
      <w:r w:rsidRPr="001D670E">
        <w:rPr>
          <w:i/>
        </w:rPr>
        <w:t>All GM's - Five Imperatives for Improving Service Quality.</w:t>
      </w:r>
      <w:r w:rsidRPr="001D670E">
        <w:t xml:space="preserve"> Retrieved November 24, 2019, from Savvy IQ Hospitality Consultants : https://www.hospitalitynet.org/opinion/4082543.html</w:t>
      </w:r>
    </w:p>
    <w:p w:rsidR="00D01A60" w:rsidRPr="001D670E" w:rsidRDefault="00594B58" w:rsidP="0051168A">
      <w:pPr>
        <w:spacing w:line="480" w:lineRule="auto"/>
        <w:ind w:left="720" w:hanging="720"/>
      </w:pPr>
      <w:r w:rsidRPr="001D670E">
        <w:t xml:space="preserve">Stefano, M., &amp; Sampagnaro, G. (2011). The Role of Relationship Lending and Lender-Borrower Distance During Financial Crisis. </w:t>
      </w:r>
      <w:r w:rsidRPr="001D670E">
        <w:rPr>
          <w:i/>
        </w:rPr>
        <w:t>Economic Letters</w:t>
      </w:r>
      <w:r w:rsidRPr="001D670E">
        <w:t xml:space="preserve"> , 4-5.</w:t>
      </w:r>
    </w:p>
    <w:p w:rsidR="00D01A60" w:rsidRPr="001D670E" w:rsidRDefault="00D01A60" w:rsidP="0051168A">
      <w:pPr>
        <w:spacing w:line="480" w:lineRule="auto"/>
        <w:ind w:left="720" w:firstLine="720"/>
      </w:pPr>
    </w:p>
    <w:sectPr w:rsidR="00D01A60" w:rsidRPr="001D670E" w:rsidSect="001C6DAD">
      <w:headerReference w:type="default" r:id="rId6"/>
      <w:headerReference w:type="first" r:id="rId7"/>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2F1" w:rsidRDefault="00ED12F1">
      <w:pPr>
        <w:spacing w:after="0"/>
      </w:pPr>
      <w:r>
        <w:separator/>
      </w:r>
    </w:p>
  </w:endnote>
  <w:endnote w:type="continuationSeparator" w:id="0">
    <w:p w:rsidR="00ED12F1" w:rsidRDefault="00ED12F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2F1" w:rsidRDefault="00ED12F1">
      <w:pPr>
        <w:spacing w:after="0"/>
      </w:pPr>
      <w:r>
        <w:separator/>
      </w:r>
    </w:p>
  </w:footnote>
  <w:footnote w:type="continuationSeparator" w:id="0">
    <w:p w:rsidR="00ED12F1" w:rsidRDefault="00ED12F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60" w:rsidRDefault="00174912">
    <w:pPr>
      <w:tabs>
        <w:tab w:val="center" w:pos="4680"/>
        <w:tab w:val="right" w:pos="9360"/>
      </w:tabs>
      <w:spacing w:before="720" w:after="0"/>
      <w:jc w:val="right"/>
    </w:pPr>
    <w:r>
      <w:t xml:space="preserve">CASE ASSIGNMENT </w:t>
    </w:r>
    <w:r w:rsidR="00594B58">
      <w:t xml:space="preserve">                                                                                                               </w:t>
    </w:r>
    <w:r w:rsidR="001C6DAD">
      <w:fldChar w:fldCharType="begin"/>
    </w:r>
    <w:r w:rsidR="00594B58">
      <w:instrText>PAGE</w:instrText>
    </w:r>
    <w:r w:rsidR="001C6DAD">
      <w:fldChar w:fldCharType="separate"/>
    </w:r>
    <w:r>
      <w:rPr>
        <w:noProof/>
      </w:rPr>
      <w:t>2</w:t>
    </w:r>
    <w:r w:rsidR="001C6DAD">
      <w:fldChar w:fldCharType="end"/>
    </w:r>
  </w:p>
  <w:p w:rsidR="00D01A60" w:rsidRDefault="00D01A60">
    <w:pPr>
      <w:tabs>
        <w:tab w:val="center" w:pos="4680"/>
        <w:tab w:val="right" w:pos="9360"/>
      </w:tabs>
      <w:spacing w:after="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60" w:rsidRDefault="00594B58" w:rsidP="00174912">
    <w:pPr>
      <w:tabs>
        <w:tab w:val="center" w:pos="4680"/>
        <w:tab w:val="right" w:pos="9360"/>
      </w:tabs>
      <w:spacing w:before="720" w:after="0"/>
    </w:pPr>
    <w:r>
      <w:t xml:space="preserve">Running head: </w:t>
    </w:r>
    <w:r w:rsidR="00174912">
      <w:t xml:space="preserve">CASE ASSIGNMENT                                                                                       </w:t>
    </w:r>
    <w:r w:rsidR="001C6DAD">
      <w:fldChar w:fldCharType="begin"/>
    </w:r>
    <w:r>
      <w:instrText>PAGE</w:instrText>
    </w:r>
    <w:r w:rsidR="001C6DAD">
      <w:fldChar w:fldCharType="separate"/>
    </w:r>
    <w:r w:rsidR="00174912">
      <w:rPr>
        <w:noProof/>
      </w:rPr>
      <w:t>1</w:t>
    </w:r>
    <w:r w:rsidR="001C6DAD">
      <w:fldChar w:fldCharType="end"/>
    </w:r>
  </w:p>
  <w:p w:rsidR="00D01A60" w:rsidRDefault="00D01A60">
    <w:pPr>
      <w:tabs>
        <w:tab w:val="center" w:pos="4680"/>
        <w:tab w:val="right" w:pos="9360"/>
      </w:tabs>
      <w:spacing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60"/>
    <w:rsid w:val="00174912"/>
    <w:rsid w:val="001C6DAD"/>
    <w:rsid w:val="001D670E"/>
    <w:rsid w:val="00375093"/>
    <w:rsid w:val="003B2F3E"/>
    <w:rsid w:val="0051168A"/>
    <w:rsid w:val="00591177"/>
    <w:rsid w:val="00594B58"/>
    <w:rsid w:val="009E2F3F"/>
    <w:rsid w:val="00BC281A"/>
    <w:rsid w:val="00D01A60"/>
    <w:rsid w:val="00D33576"/>
    <w:rsid w:val="00ED12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2DE10"/>
  <w15:docId w15:val="{8B70C187-3174-420A-A94E-5AA75EA7A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US" w:eastAsia="en-US" w:bidi="ar-SA"/>
      </w:rPr>
    </w:rPrDefault>
    <w:pPrDefault>
      <w:pPr>
        <w:widowControl w:val="0"/>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0EC7"/>
  </w:style>
  <w:style w:type="paragraph" w:styleId="Heading1">
    <w:name w:val="heading 1"/>
    <w:basedOn w:val="Normal"/>
    <w:next w:val="Normal"/>
    <w:rsid w:val="001C6DAD"/>
    <w:pPr>
      <w:keepNext/>
      <w:keepLines/>
      <w:spacing w:before="480" w:after="120"/>
      <w:contextualSpacing/>
      <w:outlineLvl w:val="0"/>
    </w:pPr>
    <w:rPr>
      <w:b/>
      <w:sz w:val="48"/>
      <w:szCs w:val="48"/>
    </w:rPr>
  </w:style>
  <w:style w:type="paragraph" w:styleId="Heading2">
    <w:name w:val="heading 2"/>
    <w:basedOn w:val="Normal"/>
    <w:next w:val="Normal"/>
    <w:rsid w:val="001C6DAD"/>
    <w:pPr>
      <w:keepNext/>
      <w:keepLines/>
      <w:spacing w:before="360" w:after="80"/>
      <w:contextualSpacing/>
      <w:outlineLvl w:val="1"/>
    </w:pPr>
    <w:rPr>
      <w:b/>
      <w:sz w:val="36"/>
      <w:szCs w:val="36"/>
    </w:rPr>
  </w:style>
  <w:style w:type="paragraph" w:styleId="Heading3">
    <w:name w:val="heading 3"/>
    <w:basedOn w:val="Normal"/>
    <w:next w:val="Normal"/>
    <w:rsid w:val="001C6DAD"/>
    <w:pPr>
      <w:keepNext/>
      <w:keepLines/>
      <w:spacing w:before="280" w:after="80"/>
      <w:contextualSpacing/>
      <w:outlineLvl w:val="2"/>
    </w:pPr>
    <w:rPr>
      <w:b/>
      <w:sz w:val="28"/>
      <w:szCs w:val="28"/>
    </w:rPr>
  </w:style>
  <w:style w:type="paragraph" w:styleId="Heading4">
    <w:name w:val="heading 4"/>
    <w:basedOn w:val="Normal"/>
    <w:next w:val="Normal"/>
    <w:rsid w:val="001C6DAD"/>
    <w:pPr>
      <w:keepNext/>
      <w:keepLines/>
      <w:spacing w:before="240" w:after="40"/>
      <w:contextualSpacing/>
      <w:outlineLvl w:val="3"/>
    </w:pPr>
    <w:rPr>
      <w:b/>
    </w:rPr>
  </w:style>
  <w:style w:type="paragraph" w:styleId="Heading5">
    <w:name w:val="heading 5"/>
    <w:basedOn w:val="Normal"/>
    <w:next w:val="Normal"/>
    <w:rsid w:val="001C6DAD"/>
    <w:pPr>
      <w:keepNext/>
      <w:keepLines/>
      <w:spacing w:before="220" w:after="40"/>
      <w:contextualSpacing/>
      <w:outlineLvl w:val="4"/>
    </w:pPr>
    <w:rPr>
      <w:b/>
      <w:sz w:val="22"/>
      <w:szCs w:val="22"/>
    </w:rPr>
  </w:style>
  <w:style w:type="paragraph" w:styleId="Heading6">
    <w:name w:val="heading 6"/>
    <w:basedOn w:val="Normal"/>
    <w:next w:val="Normal"/>
    <w:rsid w:val="001C6DAD"/>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1C6DAD"/>
    <w:pPr>
      <w:keepNext/>
      <w:keepLines/>
      <w:spacing w:before="480" w:after="120"/>
      <w:contextualSpacing/>
    </w:pPr>
    <w:rPr>
      <w:b/>
      <w:sz w:val="72"/>
      <w:szCs w:val="72"/>
    </w:rPr>
  </w:style>
  <w:style w:type="paragraph" w:styleId="BalloonText">
    <w:name w:val="Balloon Text"/>
    <w:basedOn w:val="Normal"/>
    <w:link w:val="BalloonTextChar"/>
    <w:uiPriority w:val="99"/>
    <w:semiHidden/>
    <w:unhideWhenUsed/>
    <w:rsid w:val="00F643B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43B8"/>
    <w:rPr>
      <w:rFonts w:ascii="Tahoma" w:hAnsi="Tahoma" w:cs="Tahoma"/>
      <w:sz w:val="16"/>
      <w:szCs w:val="16"/>
    </w:rPr>
  </w:style>
  <w:style w:type="paragraph" w:styleId="Bibliography">
    <w:name w:val="Bibliography"/>
    <w:basedOn w:val="Normal"/>
    <w:next w:val="Normal"/>
    <w:uiPriority w:val="37"/>
    <w:unhideWhenUsed/>
    <w:rsid w:val="00F643B8"/>
  </w:style>
  <w:style w:type="paragraph" w:styleId="Header">
    <w:name w:val="header"/>
    <w:basedOn w:val="Normal"/>
    <w:link w:val="HeaderChar"/>
    <w:uiPriority w:val="99"/>
    <w:unhideWhenUsed/>
    <w:rsid w:val="00CD4CFC"/>
    <w:pPr>
      <w:tabs>
        <w:tab w:val="center" w:pos="4680"/>
        <w:tab w:val="right" w:pos="9360"/>
      </w:tabs>
      <w:spacing w:after="0"/>
    </w:pPr>
  </w:style>
  <w:style w:type="character" w:customStyle="1" w:styleId="HeaderChar">
    <w:name w:val="Header Char"/>
    <w:basedOn w:val="DefaultParagraphFont"/>
    <w:link w:val="Header"/>
    <w:uiPriority w:val="99"/>
    <w:rsid w:val="00CD4CFC"/>
  </w:style>
  <w:style w:type="paragraph" w:styleId="Footer">
    <w:name w:val="footer"/>
    <w:basedOn w:val="Normal"/>
    <w:link w:val="FooterChar"/>
    <w:uiPriority w:val="99"/>
    <w:unhideWhenUsed/>
    <w:rsid w:val="00CD4CFC"/>
    <w:pPr>
      <w:tabs>
        <w:tab w:val="center" w:pos="4680"/>
        <w:tab w:val="right" w:pos="9360"/>
      </w:tabs>
      <w:spacing w:after="0"/>
    </w:pPr>
  </w:style>
  <w:style w:type="character" w:customStyle="1" w:styleId="FooterChar">
    <w:name w:val="Footer Char"/>
    <w:basedOn w:val="DefaultParagraphFont"/>
    <w:link w:val="Footer"/>
    <w:uiPriority w:val="99"/>
    <w:rsid w:val="00CD4CFC"/>
  </w:style>
  <w:style w:type="paragraph" w:styleId="Subtitle">
    <w:name w:val="Subtitle"/>
    <w:basedOn w:val="Normal"/>
    <w:next w:val="Normal"/>
    <w:rsid w:val="001C6DAD"/>
    <w:pPr>
      <w:keepNext/>
      <w:keepLines/>
      <w:spacing w:before="360" w:after="80"/>
      <w:contextualSpacing/>
    </w:pPr>
    <w:rPr>
      <w:rFonts w:ascii="Georgia" w:eastAsia="Georgia" w:hAnsi="Georgia" w:cs="Georgia"/>
      <w:i/>
      <w:color w:val="666666"/>
      <w:sz w:val="48"/>
      <w:szCs w:val="48"/>
    </w:rPr>
  </w:style>
  <w:style w:type="paragraph" w:styleId="NormalWeb">
    <w:name w:val="Normal (Web)"/>
    <w:basedOn w:val="Normal"/>
    <w:uiPriority w:val="99"/>
    <w:semiHidden/>
    <w:unhideWhenUsed/>
    <w:rsid w:val="0051168A"/>
    <w:pPr>
      <w:widowControl/>
      <w:spacing w:before="100" w:beforeAutospacing="1" w:after="100" w:afterAutospacing="1"/>
    </w:pPr>
    <w:rPr>
      <w:color w:val="auto"/>
    </w:rPr>
  </w:style>
  <w:style w:type="character" w:styleId="Strong">
    <w:name w:val="Strong"/>
    <w:basedOn w:val="DefaultParagraphFont"/>
    <w:uiPriority w:val="22"/>
    <w:qFormat/>
    <w:rsid w:val="005116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2731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700</Words>
  <Characters>3992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2019-11-24T20:34:00Z</dcterms:created>
  <dcterms:modified xsi:type="dcterms:W3CDTF">2019-11-24T20:34:00Z</dcterms:modified>
</cp:coreProperties>
</file>